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82747" w14:textId="77777777" w:rsidR="004939A6" w:rsidRPr="00A024BE" w:rsidRDefault="004939A6" w:rsidP="004939A6">
      <w:pPr>
        <w:pStyle w:val="a6"/>
        <w:jc w:val="center"/>
        <w:rPr>
          <w:rFonts w:ascii="Arial" w:hAnsi="Arial" w:cs="Arial"/>
          <w:sz w:val="36"/>
          <w:szCs w:val="36"/>
        </w:rPr>
      </w:pPr>
      <w:r w:rsidRPr="004939A6">
        <w:rPr>
          <w:rFonts w:ascii="Arial" w:hAnsi="Arial" w:cs="Arial"/>
          <w:sz w:val="36"/>
          <w:szCs w:val="36"/>
        </w:rPr>
        <w:t>ΤΕΧΝΙΚΕΣ</w:t>
      </w:r>
      <w:r w:rsidRPr="004939A6">
        <w:rPr>
          <w:rFonts w:ascii="Arial" w:hAnsi="Arial" w:cs="Arial"/>
          <w:spacing w:val="-1"/>
          <w:sz w:val="36"/>
          <w:szCs w:val="36"/>
        </w:rPr>
        <w:t xml:space="preserve"> </w:t>
      </w:r>
      <w:r w:rsidRPr="004939A6">
        <w:rPr>
          <w:rFonts w:ascii="Arial" w:hAnsi="Arial" w:cs="Arial"/>
          <w:sz w:val="36"/>
          <w:szCs w:val="36"/>
        </w:rPr>
        <w:t>ΠΡΟΔΙΑΓΡΑΦΕΣ</w:t>
      </w:r>
    </w:p>
    <w:p w14:paraId="06937542" w14:textId="6C91D9DE" w:rsidR="002B1E6C" w:rsidRPr="002B1E6C" w:rsidRDefault="002B1E6C" w:rsidP="002B1E6C">
      <w:pPr>
        <w:jc w:val="center"/>
        <w:rPr>
          <w:lang w:eastAsia="el-GR" w:bidi="el-GR"/>
        </w:rPr>
      </w:pPr>
      <w:r>
        <w:rPr>
          <w:lang w:val="en-US" w:eastAsia="el-GR" w:bidi="el-GR"/>
        </w:rPr>
        <w:t>SUPERCOMPUTING</w:t>
      </w:r>
      <w:r w:rsidRPr="00A024BE">
        <w:rPr>
          <w:lang w:eastAsia="el-GR" w:bidi="el-GR"/>
        </w:rPr>
        <w:t xml:space="preserve"> </w:t>
      </w:r>
      <w:r>
        <w:rPr>
          <w:lang w:val="en-US" w:eastAsia="el-GR" w:bidi="el-GR"/>
        </w:rPr>
        <w:t>SERVERS</w:t>
      </w:r>
      <w:r w:rsidRPr="00A024BE">
        <w:rPr>
          <w:lang w:eastAsia="el-GR" w:bidi="el-GR"/>
        </w:rPr>
        <w:t xml:space="preserve"> -</w:t>
      </w:r>
      <w:r>
        <w:rPr>
          <w:lang w:eastAsia="el-GR" w:bidi="el-GR"/>
        </w:rPr>
        <w:t xml:space="preserve"> ΔΗΛΟΣ</w:t>
      </w:r>
    </w:p>
    <w:p w14:paraId="2AE0DC8C" w14:textId="77777777" w:rsidR="002B1E6C" w:rsidRDefault="002B1E6C" w:rsidP="002B1E6C">
      <w:pPr>
        <w:pStyle w:val="a5"/>
        <w:spacing w:before="200" w:line="360" w:lineRule="auto"/>
        <w:ind w:right="84"/>
        <w:jc w:val="both"/>
        <w:rPr>
          <w:rFonts w:asciiTheme="minorHAnsi" w:hAnsiTheme="minorHAnsi"/>
        </w:rPr>
      </w:pPr>
    </w:p>
    <w:p w14:paraId="49F372CC" w14:textId="403A1D6D" w:rsidR="002B1E6C" w:rsidRPr="002B1E6C" w:rsidRDefault="002B1E6C" w:rsidP="002B1E6C">
      <w:pPr>
        <w:pStyle w:val="a5"/>
        <w:spacing w:before="200" w:line="360" w:lineRule="auto"/>
        <w:ind w:right="84"/>
        <w:jc w:val="both"/>
        <w:rPr>
          <w:rFonts w:asciiTheme="minorHAnsi" w:hAnsiTheme="minorHAnsi"/>
        </w:rPr>
      </w:pPr>
      <w:r>
        <w:rPr>
          <w:rFonts w:asciiTheme="minorHAnsi" w:hAnsiTheme="minorHAnsi"/>
        </w:rPr>
        <w:t xml:space="preserve">Το </w:t>
      </w:r>
      <w:proofErr w:type="spellStart"/>
      <w:r>
        <w:rPr>
          <w:rFonts w:asciiTheme="minorHAnsi" w:hAnsiTheme="minorHAnsi"/>
        </w:rPr>
        <w:t>Κέντρον</w:t>
      </w:r>
      <w:proofErr w:type="spellEnd"/>
      <w:r>
        <w:rPr>
          <w:rFonts w:asciiTheme="minorHAnsi" w:hAnsiTheme="minorHAnsi"/>
        </w:rPr>
        <w:t xml:space="preserve"> </w:t>
      </w:r>
      <w:proofErr w:type="spellStart"/>
      <w:r>
        <w:rPr>
          <w:rFonts w:asciiTheme="minorHAnsi" w:hAnsiTheme="minorHAnsi"/>
        </w:rPr>
        <w:t>Ερεύνης</w:t>
      </w:r>
      <w:proofErr w:type="spellEnd"/>
      <w:r>
        <w:rPr>
          <w:rFonts w:asciiTheme="minorHAnsi" w:hAnsiTheme="minorHAnsi"/>
        </w:rPr>
        <w:t xml:space="preserve"> Φυσικής της Ατμοσφαίρας και Κλιματολογίας της Ακαδημίας Αθηνών πρόκειται να προμηθευτεί συστοιχία διακομιστών για την ανάπτυξη </w:t>
      </w:r>
      <w:proofErr w:type="spellStart"/>
      <w:r>
        <w:rPr>
          <w:rFonts w:asciiTheme="minorHAnsi" w:hAnsiTheme="minorHAnsi"/>
        </w:rPr>
        <w:t>υπερ</w:t>
      </w:r>
      <w:proofErr w:type="spellEnd"/>
      <w:r>
        <w:rPr>
          <w:rFonts w:asciiTheme="minorHAnsi" w:hAnsiTheme="minorHAnsi"/>
        </w:rPr>
        <w:t xml:space="preserve">-υπολογιστικού κέντρου στο πλαίσιο του έργου </w:t>
      </w:r>
      <w:r w:rsidRPr="002B1E6C">
        <w:rPr>
          <w:rFonts w:asciiTheme="minorHAnsi" w:hAnsiTheme="minorHAnsi"/>
        </w:rPr>
        <w:t>«Ανάπτυξη και εγκατάσταση ολοκληρωμένου συστήματος παρακολούθησης των επιπτώσεων της κλιματικής αλλαγής στα μνημεία της Δήλου». Στο υπολογιστικό αυτό κέντρο θα πραγματοποιηθεί η εγκατάσταση και ανάπτυξη αριθμητικών μοντέλων και αλγορίθμων για την ανάλυση των κλιματικών παραμέτρων στην περιοχή της μελέτης, την περιγραφή των ατμοσφαιρικών μηχανισμών και της ποιότητας του αέρα και την προσομοίωση του πεδίου των θαλασσίων κυμάτων στην περιοχή της μελέτης.</w:t>
      </w:r>
    </w:p>
    <w:p w14:paraId="6E32F0D1" w14:textId="2005F3DA" w:rsidR="004939A6" w:rsidRPr="004939A6" w:rsidRDefault="004939A6" w:rsidP="002B1E6C">
      <w:pPr>
        <w:pStyle w:val="a5"/>
        <w:spacing w:before="200" w:line="360" w:lineRule="auto"/>
        <w:ind w:right="84"/>
        <w:jc w:val="both"/>
        <w:rPr>
          <w:rFonts w:asciiTheme="minorHAnsi" w:hAnsiTheme="minorHAnsi"/>
        </w:rPr>
      </w:pPr>
      <w:r w:rsidRPr="004939A6">
        <w:rPr>
          <w:rFonts w:asciiTheme="minorHAnsi" w:hAnsiTheme="minorHAnsi"/>
        </w:rPr>
        <w:t>Οι προσφορές θα πρέπει να είναι σαφείς, να μην υπερβαίνουν τον εκτιμώμενο προϋπολογισμό και να μην περιέχουν αοριστίες ελλείψει πληροφοριών και μη τεκμηριωμένα στοιχεία.</w:t>
      </w:r>
      <w:r w:rsidR="002B1E6C">
        <w:rPr>
          <w:rFonts w:asciiTheme="minorHAnsi" w:hAnsiTheme="minorHAnsi"/>
        </w:rPr>
        <w:t xml:space="preserve"> </w:t>
      </w:r>
      <w:r w:rsidRPr="004939A6">
        <w:rPr>
          <w:rFonts w:asciiTheme="minorHAnsi" w:hAnsiTheme="minorHAnsi"/>
        </w:rPr>
        <w:t xml:space="preserve">Συγκεκριμένα, στους </w:t>
      </w:r>
      <w:r w:rsidR="00346F61" w:rsidRPr="00346F61">
        <w:rPr>
          <w:rFonts w:asciiTheme="minorHAnsi" w:hAnsiTheme="minorHAnsi"/>
        </w:rPr>
        <w:t xml:space="preserve">παρακάτω </w:t>
      </w:r>
      <w:r w:rsidRPr="004939A6">
        <w:rPr>
          <w:rFonts w:asciiTheme="minorHAnsi" w:hAnsiTheme="minorHAnsi"/>
        </w:rPr>
        <w:t>πίνακ</w:t>
      </w:r>
      <w:r w:rsidR="00346F61" w:rsidRPr="00346F61">
        <w:rPr>
          <w:rFonts w:asciiTheme="minorHAnsi" w:hAnsiTheme="minorHAnsi"/>
        </w:rPr>
        <w:t>ες</w:t>
      </w:r>
      <w:r w:rsidRPr="004939A6">
        <w:rPr>
          <w:rFonts w:asciiTheme="minorHAnsi" w:hAnsiTheme="minorHAnsi"/>
        </w:rPr>
        <w:t xml:space="preserve"> αποτυπώνονται οι απαιτήσεις και προδιαγραφές που ο Υποψήφιος Ανάδοχος πρέπει να λάβει υπόψη του κατά την σύνταξη της προσφοράς του. Ειδικότερα προσδιορίζονται οι τεχνικές προδιαγραφές και οι ελάχιστες απαιτήσεις που πρέπει να πληροί η τεχνική προσφορά του αναδόχου σε τεχνικό επίπεδο. </w:t>
      </w:r>
    </w:p>
    <w:p w14:paraId="3CC89D4B" w14:textId="52F1F1E1" w:rsidR="004939A6" w:rsidRPr="004939A6" w:rsidRDefault="004939A6" w:rsidP="004939A6">
      <w:pPr>
        <w:pStyle w:val="a5"/>
        <w:spacing w:before="200" w:line="360" w:lineRule="auto"/>
        <w:ind w:right="84"/>
        <w:jc w:val="both"/>
        <w:rPr>
          <w:rFonts w:asciiTheme="minorHAnsi" w:hAnsiTheme="minorHAnsi"/>
        </w:rPr>
      </w:pPr>
      <w:r w:rsidRPr="004939A6">
        <w:rPr>
          <w:rFonts w:asciiTheme="minorHAnsi" w:hAnsiTheme="minorHAnsi"/>
        </w:rPr>
        <w:t>Όπου στις τεχνικές προδιαγραφές εμπεριέχονται αναφορές εμπορικών σημάτων, διπλωμάτων ευρεσιτεχνίας ή τύπων ή αναφορές ορισμένης καταγωγής ή παραγωγής, αυτό γίνεται αποκλειστικά για λόγους διευκόλυνσης της περιγραφής του ζητούμενου είδους και τις απαιτήσεις της προκήρυξης. Όλοι οι όροι των τεχνικών προδιαγραφών που ορίζονται στην Προκήρυξη είναι απαράβατοι και η οποιαδήποτε μη συμμόρφωση με αυτούς συνεπάγεται απόρριψη της προσφοράς.</w:t>
      </w:r>
    </w:p>
    <w:p w14:paraId="77470854" w14:textId="77777777" w:rsidR="00A66ECC" w:rsidRDefault="00A66ECC" w:rsidP="00E40B0C">
      <w:pPr>
        <w:rPr>
          <w:b/>
        </w:rPr>
      </w:pPr>
    </w:p>
    <w:p w14:paraId="7B1786A8" w14:textId="6498BF5B" w:rsidR="00E40B0C" w:rsidRPr="00E40B0C" w:rsidRDefault="008C3F4C" w:rsidP="00E40B0C">
      <w:pPr>
        <w:pStyle w:val="a4"/>
        <w:numPr>
          <w:ilvl w:val="0"/>
          <w:numId w:val="1"/>
        </w:numPr>
        <w:rPr>
          <w:b/>
        </w:rPr>
      </w:pPr>
      <w:r>
        <w:rPr>
          <w:b/>
        </w:rPr>
        <w:t xml:space="preserve">Δύο </w:t>
      </w:r>
      <w:r w:rsidR="00E40B0C" w:rsidRPr="00E40B0C">
        <w:rPr>
          <w:b/>
        </w:rPr>
        <w:t>Διακομιστ</w:t>
      </w:r>
      <w:r>
        <w:rPr>
          <w:b/>
        </w:rPr>
        <w:t>ές</w:t>
      </w:r>
      <w:r w:rsidR="00E40B0C" w:rsidRPr="00E40B0C">
        <w:rPr>
          <w:b/>
        </w:rPr>
        <w:t xml:space="preserve"> (</w:t>
      </w:r>
      <w:r w:rsidR="00E40B0C" w:rsidRPr="00E40B0C">
        <w:rPr>
          <w:b/>
          <w:lang w:val="en-US"/>
        </w:rPr>
        <w:t>SERVER</w:t>
      </w:r>
      <w:r w:rsidR="00E40B0C" w:rsidRPr="00E40B0C">
        <w:rPr>
          <w:b/>
        </w:rPr>
        <w:t>) για εκτέλεση σύνθετων αριθμητικών μοντέλων</w:t>
      </w:r>
    </w:p>
    <w:p w14:paraId="5095DCE2" w14:textId="1837B158" w:rsidR="007E1D8B" w:rsidRDefault="007E1D8B" w:rsidP="0065098B">
      <w:pPr>
        <w:spacing w:line="360" w:lineRule="auto"/>
        <w:jc w:val="both"/>
        <w:rPr>
          <w:rFonts w:eastAsia="Arial" w:cs="Arial"/>
          <w:lang w:eastAsia="el-GR" w:bidi="el-GR"/>
        </w:rPr>
      </w:pPr>
      <w:r w:rsidRPr="002B1E6C">
        <w:rPr>
          <w:rFonts w:eastAsia="Arial" w:cs="Arial"/>
          <w:lang w:eastAsia="el-GR" w:bidi="el-GR"/>
        </w:rPr>
        <w:t xml:space="preserve">Για την εγκατάσταση και επιχειρησιακή λειτουργία </w:t>
      </w:r>
      <w:r w:rsidR="00D71E32" w:rsidRPr="002B1E6C">
        <w:rPr>
          <w:rFonts w:eastAsia="Arial" w:cs="Arial"/>
          <w:lang w:eastAsia="el-GR" w:bidi="el-GR"/>
        </w:rPr>
        <w:t xml:space="preserve">σύνθετων </w:t>
      </w:r>
      <w:r w:rsidRPr="002B1E6C">
        <w:rPr>
          <w:rFonts w:eastAsia="Arial" w:cs="Arial"/>
          <w:lang w:eastAsia="el-GR" w:bidi="el-GR"/>
        </w:rPr>
        <w:t xml:space="preserve">αριθμητικών μοντέλων θα απαιτηθεί η προμήθεια </w:t>
      </w:r>
      <w:r w:rsidR="002B1E6C" w:rsidRPr="002B1E6C">
        <w:rPr>
          <w:rFonts w:eastAsia="Arial" w:cs="Arial"/>
          <w:b/>
          <w:bCs/>
          <w:lang w:eastAsia="el-GR" w:bidi="el-GR"/>
        </w:rPr>
        <w:t xml:space="preserve">δύο </w:t>
      </w:r>
      <w:r w:rsidRPr="002B1E6C">
        <w:rPr>
          <w:rFonts w:eastAsia="Arial" w:cs="Arial"/>
          <w:b/>
          <w:bCs/>
          <w:lang w:eastAsia="el-GR" w:bidi="el-GR"/>
        </w:rPr>
        <w:t>διακομιστ</w:t>
      </w:r>
      <w:r w:rsidR="002B1E6C" w:rsidRPr="002B1E6C">
        <w:rPr>
          <w:rFonts w:eastAsia="Arial" w:cs="Arial"/>
          <w:b/>
          <w:bCs/>
          <w:lang w:eastAsia="el-GR" w:bidi="el-GR"/>
        </w:rPr>
        <w:t>ών</w:t>
      </w:r>
      <w:r w:rsidR="002B1E6C">
        <w:rPr>
          <w:rFonts w:eastAsia="Arial" w:cs="Arial"/>
          <w:lang w:eastAsia="el-GR" w:bidi="el-GR"/>
        </w:rPr>
        <w:t xml:space="preserve"> </w:t>
      </w:r>
      <w:r w:rsidR="002B1E6C" w:rsidRPr="002B1E6C">
        <w:rPr>
          <w:rFonts w:eastAsia="Arial" w:cs="Arial"/>
          <w:b/>
          <w:bCs/>
          <w:lang w:eastAsia="el-GR" w:bidi="el-GR"/>
        </w:rPr>
        <w:t xml:space="preserve">(2 </w:t>
      </w:r>
      <w:r w:rsidR="002B1E6C" w:rsidRPr="002B1E6C">
        <w:rPr>
          <w:rFonts w:eastAsia="Arial" w:cs="Arial"/>
          <w:b/>
          <w:bCs/>
          <w:lang w:val="en-US" w:eastAsia="el-GR" w:bidi="el-GR"/>
        </w:rPr>
        <w:t>computing</w:t>
      </w:r>
      <w:r w:rsidR="002B1E6C" w:rsidRPr="002B1E6C">
        <w:rPr>
          <w:rFonts w:eastAsia="Arial" w:cs="Arial"/>
          <w:b/>
          <w:bCs/>
          <w:lang w:eastAsia="el-GR" w:bidi="el-GR"/>
        </w:rPr>
        <w:t xml:space="preserve"> </w:t>
      </w:r>
      <w:r w:rsidR="002B1E6C" w:rsidRPr="002B1E6C">
        <w:rPr>
          <w:rFonts w:eastAsia="Arial" w:cs="Arial"/>
          <w:b/>
          <w:bCs/>
          <w:lang w:val="en-US" w:eastAsia="el-GR" w:bidi="el-GR"/>
        </w:rPr>
        <w:t>servers</w:t>
      </w:r>
      <w:r w:rsidR="002B1E6C" w:rsidRPr="002B1E6C">
        <w:rPr>
          <w:rFonts w:eastAsia="Arial" w:cs="Arial"/>
          <w:b/>
          <w:bCs/>
          <w:lang w:eastAsia="el-GR" w:bidi="el-GR"/>
        </w:rPr>
        <w:t>)</w:t>
      </w:r>
      <w:r w:rsidR="002B1E6C">
        <w:rPr>
          <w:rFonts w:eastAsia="Arial" w:cs="Arial"/>
          <w:lang w:eastAsia="el-GR" w:bidi="el-GR"/>
        </w:rPr>
        <w:t xml:space="preserve"> </w:t>
      </w:r>
      <w:r w:rsidRPr="002B1E6C">
        <w:rPr>
          <w:rFonts w:eastAsia="Arial" w:cs="Arial"/>
          <w:lang w:eastAsia="el-GR" w:bidi="el-GR"/>
        </w:rPr>
        <w:t>με χαρακτηριστικά αυξημένης επεξεργαστικής ισχύς καθώς και υψηλής διαθεσιμότητας ικανό να ανταπεξέλθει στην παραπάνω περιγραφόμενη διαδικασία αδιαλείπτως και σε ικανοποιητικό χρονικό διάστημα.</w:t>
      </w:r>
      <w:r w:rsidR="005456E9" w:rsidRPr="002B1E6C">
        <w:rPr>
          <w:rFonts w:eastAsia="Arial" w:cs="Arial"/>
          <w:lang w:eastAsia="el-GR" w:bidi="el-GR"/>
        </w:rPr>
        <w:t xml:space="preserve"> </w:t>
      </w:r>
      <w:r w:rsidR="008C3F4C">
        <w:rPr>
          <w:rFonts w:eastAsia="Arial" w:cs="Arial"/>
          <w:lang w:eastAsia="el-GR" w:bidi="el-GR"/>
        </w:rPr>
        <w:t>Τα ζητούμενα τεχνικά χαρακτηριστικά του εξοπλισμού περιγράφονται αναλυτικά στη συνέχεια.</w:t>
      </w:r>
    </w:p>
    <w:p w14:paraId="74A76C37" w14:textId="77777777" w:rsidR="008C3F4C" w:rsidRDefault="008C3F4C" w:rsidP="00A66ECC">
      <w:pPr>
        <w:jc w:val="both"/>
        <w:rPr>
          <w:rFonts w:eastAsia="Arial" w:cs="Arial"/>
          <w:lang w:eastAsia="el-GR" w:bidi="el-GR"/>
        </w:rPr>
      </w:pPr>
    </w:p>
    <w:p w14:paraId="20479BB3" w14:textId="77777777" w:rsidR="007E1D8B" w:rsidRPr="00042790" w:rsidRDefault="007E1D8B" w:rsidP="007E1D8B">
      <w:pPr>
        <w:jc w:val="both"/>
        <w:rPr>
          <w:rFonts w:ascii="Calibri" w:hAnsi="Calibri"/>
          <w:b/>
          <w:u w:val="single"/>
        </w:rPr>
      </w:pPr>
      <w:r w:rsidRPr="00042790">
        <w:rPr>
          <w:rFonts w:ascii="Calibri" w:hAnsi="Calibri"/>
          <w:b/>
          <w:u w:val="single"/>
        </w:rPr>
        <w:lastRenderedPageBreak/>
        <w:t>Ελάχιστα Τεχνικά Χαρακτηριστικά:</w:t>
      </w:r>
    </w:p>
    <w:p w14:paraId="762CF472" w14:textId="18B61D9A" w:rsidR="0035775E" w:rsidRDefault="0035775E" w:rsidP="0065098B">
      <w:pPr>
        <w:spacing w:line="360" w:lineRule="auto"/>
        <w:jc w:val="both"/>
      </w:pPr>
      <w:r w:rsidRPr="00D4026D">
        <w:t>Ο</w:t>
      </w:r>
      <w:r w:rsidR="002B1E6C">
        <w:t>ι</w:t>
      </w:r>
      <w:r w:rsidRPr="00D4026D">
        <w:t xml:space="preserve"> προσφερόμενο</w:t>
      </w:r>
      <w:r w:rsidR="002B1E6C">
        <w:t>ι</w:t>
      </w:r>
      <w:r w:rsidRPr="00D4026D">
        <w:t xml:space="preserve"> διακομιστ</w:t>
      </w:r>
      <w:r w:rsidR="002B1E6C">
        <w:t>ές</w:t>
      </w:r>
      <w:r w:rsidRPr="00D4026D">
        <w:t xml:space="preserve"> θα πρέπει να πληρ</w:t>
      </w:r>
      <w:r w:rsidR="002B1E6C">
        <w:t>ούν</w:t>
      </w:r>
      <w:r w:rsidRPr="00D4026D">
        <w:t xml:space="preserve"> χαρακτηριστικά υψηλής διαθεσιμότητας,</w:t>
      </w:r>
      <w:r w:rsidR="002B1E6C">
        <w:t xml:space="preserve"> </w:t>
      </w:r>
      <w:r w:rsidRPr="00D4026D">
        <w:t xml:space="preserve">την αδιάλειπτη λειτουργία όλων των επιμέρους τμημάτων  (ελεγκτές, μνήμη, δίσκοι, </w:t>
      </w:r>
      <w:r w:rsidR="00346F61" w:rsidRPr="00346F61">
        <w:t>θύρες</w:t>
      </w:r>
      <w:r w:rsidRPr="00D4026D">
        <w:t xml:space="preserve"> σύνδεσης ελεγκτή </w:t>
      </w:r>
      <w:proofErr w:type="spellStart"/>
      <w:r w:rsidRPr="00D4026D">
        <w:t>κλπ</w:t>
      </w:r>
      <w:proofErr w:type="spellEnd"/>
      <w:r w:rsidRPr="00D4026D">
        <w:t>), δυνατότητες επέκτασης (</w:t>
      </w:r>
      <w:proofErr w:type="spellStart"/>
      <w:r w:rsidRPr="00D4026D">
        <w:t>expansion</w:t>
      </w:r>
      <w:proofErr w:type="spellEnd"/>
      <w:r w:rsidRPr="00D4026D">
        <w:t>) και αναδιάρθρωσης (</w:t>
      </w:r>
      <w:proofErr w:type="spellStart"/>
      <w:r w:rsidRPr="00D4026D">
        <w:t>reconfiguration</w:t>
      </w:r>
      <w:proofErr w:type="spellEnd"/>
      <w:r w:rsidRPr="00D4026D">
        <w:t>).</w:t>
      </w:r>
    </w:p>
    <w:p w14:paraId="0C69CFFE" w14:textId="227E023E" w:rsidR="00A024BE" w:rsidRPr="00CC1AC4" w:rsidRDefault="00A024BE" w:rsidP="00A024BE">
      <w:pPr>
        <w:pStyle w:val="a4"/>
        <w:numPr>
          <w:ilvl w:val="0"/>
          <w:numId w:val="7"/>
        </w:numPr>
        <w:spacing w:line="360" w:lineRule="auto"/>
        <w:jc w:val="both"/>
        <w:rPr>
          <w:b/>
          <w:bCs/>
          <w:u w:val="single"/>
        </w:rPr>
      </w:pPr>
      <w:r w:rsidRPr="00CC1AC4">
        <w:rPr>
          <w:b/>
          <w:bCs/>
          <w:u w:val="single"/>
        </w:rPr>
        <w:t>Προμήθεια</w:t>
      </w:r>
    </w:p>
    <w:tbl>
      <w:tblPr>
        <w:tblW w:w="0" w:type="auto"/>
        <w:shd w:val="clear" w:color="auto" w:fill="FFFFFF"/>
        <w:tblLayout w:type="fixed"/>
        <w:tblCellMar>
          <w:left w:w="0" w:type="dxa"/>
          <w:right w:w="0" w:type="dxa"/>
        </w:tblCellMar>
        <w:tblLook w:val="04A0" w:firstRow="1" w:lastRow="0" w:firstColumn="1" w:lastColumn="0" w:noHBand="0" w:noVBand="1"/>
      </w:tblPr>
      <w:tblGrid>
        <w:gridCol w:w="640"/>
        <w:gridCol w:w="4146"/>
        <w:gridCol w:w="1105"/>
        <w:gridCol w:w="1064"/>
        <w:gridCol w:w="1150"/>
      </w:tblGrid>
      <w:tr w:rsidR="00346F61" w:rsidRPr="00334873" w14:paraId="65EBB82B" w14:textId="329510C0" w:rsidTr="0065098B">
        <w:tc>
          <w:tcPr>
            <w:tcW w:w="6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1564B5" w14:textId="77777777" w:rsidR="00346F61" w:rsidRPr="00334873" w:rsidRDefault="00346F61" w:rsidP="00346F61">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Α/Α</w:t>
            </w:r>
          </w:p>
        </w:tc>
        <w:tc>
          <w:tcPr>
            <w:tcW w:w="4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C5376A" w14:textId="77777777" w:rsidR="00346F61" w:rsidRPr="00334873" w:rsidRDefault="00346F61" w:rsidP="00346F61">
            <w:pPr>
              <w:spacing w:after="0" w:line="240" w:lineRule="auto"/>
              <w:rPr>
                <w:rFonts w:ascii="Times New Roman" w:eastAsia="Times New Roman" w:hAnsi="Times New Roman" w:cs="Times New Roman"/>
                <w:color w:val="201F1E"/>
                <w:sz w:val="24"/>
                <w:szCs w:val="24"/>
                <w:lang w:eastAsia="el-GR"/>
              </w:rPr>
            </w:pPr>
            <w:r w:rsidRPr="00334873">
              <w:rPr>
                <w:rFonts w:ascii="Calibri" w:eastAsia="Times New Roman" w:hAnsi="Calibri" w:cs="Calibri"/>
                <w:b/>
                <w:bCs/>
                <w:color w:val="201F1E"/>
                <w:bdr w:val="none" w:sz="0" w:space="0" w:color="auto" w:frame="1"/>
                <w:lang w:eastAsia="el-GR"/>
              </w:rPr>
              <w:t>ΠΕΡΙΓΡΑΦΗ</w:t>
            </w:r>
          </w:p>
        </w:tc>
        <w:tc>
          <w:tcPr>
            <w:tcW w:w="1105" w:type="dxa"/>
            <w:tcBorders>
              <w:top w:val="single" w:sz="8" w:space="0" w:color="auto"/>
              <w:left w:val="nil"/>
              <w:bottom w:val="single" w:sz="8" w:space="0" w:color="auto"/>
              <w:right w:val="single" w:sz="8" w:space="0" w:color="auto"/>
            </w:tcBorders>
            <w:shd w:val="clear" w:color="auto" w:fill="FFFFFF"/>
          </w:tcPr>
          <w:p w14:paraId="63921808" w14:textId="53B7E55E" w:rsidR="00346F61" w:rsidRPr="00334873" w:rsidRDefault="00346F61" w:rsidP="00346F61">
            <w:pPr>
              <w:spacing w:after="0" w:line="240" w:lineRule="auto"/>
              <w:rPr>
                <w:rFonts w:ascii="Calibri" w:eastAsia="Times New Roman" w:hAnsi="Calibri" w:cs="Calibri"/>
                <w:b/>
                <w:bCs/>
                <w:color w:val="201F1E"/>
                <w:bdr w:val="none" w:sz="0" w:space="0" w:color="auto" w:frame="1"/>
                <w:lang w:eastAsia="el-GR"/>
              </w:rPr>
            </w:pPr>
            <w:r w:rsidRPr="00BA3B3B">
              <w:rPr>
                <w:b/>
              </w:rPr>
              <w:t>ΠΟΣΟΤΗΤΑ</w:t>
            </w:r>
          </w:p>
        </w:tc>
        <w:tc>
          <w:tcPr>
            <w:tcW w:w="1064" w:type="dxa"/>
            <w:tcBorders>
              <w:top w:val="single" w:sz="8" w:space="0" w:color="auto"/>
              <w:left w:val="nil"/>
              <w:bottom w:val="single" w:sz="8" w:space="0" w:color="auto"/>
              <w:right w:val="single" w:sz="8" w:space="0" w:color="auto"/>
            </w:tcBorders>
            <w:shd w:val="clear" w:color="auto" w:fill="FFFFFF"/>
          </w:tcPr>
          <w:p w14:paraId="7BD7A92E" w14:textId="50E721BC" w:rsidR="00346F61" w:rsidRPr="00334873" w:rsidRDefault="00346F61" w:rsidP="00346F61">
            <w:pPr>
              <w:spacing w:after="0" w:line="240" w:lineRule="auto"/>
              <w:rPr>
                <w:rFonts w:ascii="Calibri" w:eastAsia="Times New Roman" w:hAnsi="Calibri" w:cs="Calibri"/>
                <w:b/>
                <w:bCs/>
                <w:color w:val="201F1E"/>
                <w:bdr w:val="none" w:sz="0" w:space="0" w:color="auto" w:frame="1"/>
                <w:lang w:eastAsia="el-GR"/>
              </w:rPr>
            </w:pPr>
            <w:r>
              <w:rPr>
                <w:b/>
              </w:rPr>
              <w:t>ΑΠΑΙΤΗΣΗ</w:t>
            </w:r>
          </w:p>
        </w:tc>
        <w:tc>
          <w:tcPr>
            <w:tcW w:w="1150" w:type="dxa"/>
            <w:tcBorders>
              <w:top w:val="single" w:sz="8" w:space="0" w:color="auto"/>
              <w:left w:val="nil"/>
              <w:bottom w:val="single" w:sz="8" w:space="0" w:color="auto"/>
              <w:right w:val="single" w:sz="8" w:space="0" w:color="auto"/>
            </w:tcBorders>
            <w:shd w:val="clear" w:color="auto" w:fill="FFFFFF"/>
          </w:tcPr>
          <w:p w14:paraId="1BB053B8" w14:textId="4E061A4A" w:rsidR="00346F61" w:rsidRPr="00334873" w:rsidRDefault="00346F61" w:rsidP="00346F61">
            <w:pPr>
              <w:spacing w:after="0" w:line="240" w:lineRule="auto"/>
              <w:rPr>
                <w:rFonts w:ascii="Calibri" w:eastAsia="Times New Roman" w:hAnsi="Calibri" w:cs="Calibri"/>
                <w:b/>
                <w:bCs/>
                <w:color w:val="201F1E"/>
                <w:bdr w:val="none" w:sz="0" w:space="0" w:color="auto" w:frame="1"/>
                <w:lang w:eastAsia="el-GR"/>
              </w:rPr>
            </w:pPr>
            <w:r>
              <w:rPr>
                <w:b/>
              </w:rPr>
              <w:t>ΑΠΑΝΤΗΣΗ</w:t>
            </w:r>
          </w:p>
        </w:tc>
      </w:tr>
      <w:tr w:rsidR="00346F61" w:rsidRPr="00334873" w14:paraId="4B6DFD81" w14:textId="568875A3" w:rsidTr="0065098B">
        <w:tc>
          <w:tcPr>
            <w:tcW w:w="6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54195" w14:textId="77777777" w:rsidR="00346F61" w:rsidRPr="00334873" w:rsidRDefault="00346F61" w:rsidP="00334873">
            <w:pPr>
              <w:spacing w:after="0" w:line="240" w:lineRule="auto"/>
              <w:jc w:val="center"/>
              <w:rPr>
                <w:rFonts w:ascii="Times New Roman" w:eastAsia="Times New Roman" w:hAnsi="Times New Roman" w:cs="Times New Roman"/>
                <w:color w:val="201F1E"/>
                <w:sz w:val="24"/>
                <w:szCs w:val="24"/>
                <w:lang w:eastAsia="el-GR"/>
              </w:rPr>
            </w:pPr>
            <w:r w:rsidRPr="00334873">
              <w:rPr>
                <w:rFonts w:ascii="Calibri" w:eastAsia="Times New Roman" w:hAnsi="Calibri" w:cs="Calibri"/>
                <w:color w:val="201F1E"/>
                <w:bdr w:val="none" w:sz="0" w:space="0" w:color="auto" w:frame="1"/>
                <w:lang w:eastAsia="el-GR"/>
              </w:rPr>
              <w:t>1</w:t>
            </w:r>
            <w:r w:rsidRPr="00334873">
              <w:rPr>
                <w:rFonts w:ascii="Calibri" w:eastAsia="Times New Roman" w:hAnsi="Calibri" w:cs="Calibri"/>
                <w:color w:val="201F1E"/>
                <w:bdr w:val="none" w:sz="0" w:space="0" w:color="auto" w:frame="1"/>
                <w:lang w:val="en-US" w:eastAsia="el-GR"/>
              </w:rPr>
              <w:t>.</w:t>
            </w:r>
          </w:p>
        </w:tc>
        <w:tc>
          <w:tcPr>
            <w:tcW w:w="4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75D78" w14:textId="00237621" w:rsidR="008C3F4C" w:rsidRPr="008C3F4C" w:rsidRDefault="008C3F4C" w:rsidP="008C3F4C">
            <w:pPr>
              <w:spacing w:after="0" w:line="240" w:lineRule="auto"/>
              <w:rPr>
                <w:rFonts w:ascii="Calibri" w:eastAsia="Times New Roman" w:hAnsi="Calibri" w:cs="Calibri"/>
                <w:b/>
                <w:bCs/>
                <w:color w:val="201F1E"/>
                <w:u w:val="single"/>
                <w:bdr w:val="none" w:sz="0" w:space="0" w:color="auto" w:frame="1"/>
                <w:lang w:eastAsia="el-GR"/>
              </w:rPr>
            </w:pPr>
            <w:r w:rsidRPr="008C3F4C">
              <w:rPr>
                <w:rFonts w:ascii="Calibri" w:eastAsia="Times New Roman" w:hAnsi="Calibri" w:cs="Calibri"/>
                <w:b/>
                <w:bCs/>
                <w:color w:val="201F1E"/>
                <w:u w:val="single"/>
                <w:bdr w:val="none" w:sz="0" w:space="0" w:color="auto" w:frame="1"/>
                <w:lang w:eastAsia="el-GR"/>
              </w:rPr>
              <w:t>Χαρακτηριστικά Διακομιστή</w:t>
            </w:r>
          </w:p>
          <w:p w14:paraId="180995DF" w14:textId="7E7B7862" w:rsidR="008C3F4C" w:rsidRPr="00A024BE" w:rsidRDefault="00346F61" w:rsidP="0065098B">
            <w:pPr>
              <w:spacing w:after="0" w:line="360" w:lineRule="auto"/>
              <w:rPr>
                <w:rFonts w:ascii="Calibri" w:eastAsia="Times New Roman" w:hAnsi="Calibri" w:cs="Calibri"/>
                <w:color w:val="201F1E"/>
                <w:bdr w:val="none" w:sz="0" w:space="0" w:color="auto" w:frame="1"/>
                <w:lang w:eastAsia="el-GR"/>
              </w:rPr>
            </w:pPr>
            <w:r w:rsidRPr="00334873">
              <w:rPr>
                <w:rFonts w:ascii="Calibri" w:eastAsia="Times New Roman" w:hAnsi="Calibri" w:cs="Calibri"/>
                <w:color w:val="201F1E"/>
                <w:bdr w:val="none" w:sz="0" w:space="0" w:color="auto" w:frame="1"/>
                <w:lang w:val="en-US" w:eastAsia="el-GR"/>
              </w:rPr>
              <w:t>Intel</w:t>
            </w:r>
            <w:r w:rsidRPr="00A024BE">
              <w:rPr>
                <w:rFonts w:ascii="Calibri" w:eastAsia="Times New Roman" w:hAnsi="Calibri" w:cs="Calibri"/>
                <w:color w:val="201F1E"/>
                <w:bdr w:val="none" w:sz="0" w:space="0" w:color="auto" w:frame="1"/>
                <w:lang w:eastAsia="el-GR"/>
              </w:rPr>
              <w:t xml:space="preserve"> </w:t>
            </w:r>
            <w:r w:rsidRPr="00334873">
              <w:rPr>
                <w:rFonts w:ascii="Calibri" w:eastAsia="Times New Roman" w:hAnsi="Calibri" w:cs="Calibri"/>
                <w:color w:val="201F1E"/>
                <w:bdr w:val="none" w:sz="0" w:space="0" w:color="auto" w:frame="1"/>
                <w:lang w:val="en-US" w:eastAsia="el-GR"/>
              </w:rPr>
              <w:t>Gold</w:t>
            </w:r>
            <w:r w:rsidRPr="00A024BE">
              <w:rPr>
                <w:rFonts w:ascii="Calibri" w:eastAsia="Times New Roman" w:hAnsi="Calibri" w:cs="Calibri"/>
                <w:color w:val="201F1E"/>
                <w:bdr w:val="none" w:sz="0" w:space="0" w:color="auto" w:frame="1"/>
                <w:lang w:eastAsia="el-GR"/>
              </w:rPr>
              <w:t xml:space="preserve"> 6</w:t>
            </w:r>
            <w:r w:rsidR="008C3F4C" w:rsidRPr="00A024BE">
              <w:rPr>
                <w:rFonts w:ascii="Calibri" w:eastAsia="Times New Roman" w:hAnsi="Calibri" w:cs="Calibri"/>
                <w:color w:val="201F1E"/>
                <w:bdr w:val="none" w:sz="0" w:space="0" w:color="auto" w:frame="1"/>
                <w:lang w:eastAsia="el-GR"/>
              </w:rPr>
              <w:t>5</w:t>
            </w:r>
            <w:r w:rsidRPr="00A024BE">
              <w:rPr>
                <w:rFonts w:ascii="Calibri" w:eastAsia="Times New Roman" w:hAnsi="Calibri" w:cs="Calibri"/>
                <w:color w:val="201F1E"/>
                <w:bdr w:val="none" w:sz="0" w:space="0" w:color="auto" w:frame="1"/>
                <w:lang w:eastAsia="el-GR"/>
              </w:rPr>
              <w:t xml:space="preserve">30 </w:t>
            </w:r>
            <w:r w:rsidR="008C3F4C" w:rsidRPr="00A024BE">
              <w:rPr>
                <w:rFonts w:ascii="Calibri" w:eastAsia="Times New Roman" w:hAnsi="Calibri" w:cs="Calibri"/>
                <w:color w:val="201F1E"/>
                <w:bdr w:val="none" w:sz="0" w:space="0" w:color="auto" w:frame="1"/>
                <w:lang w:eastAsia="el-GR"/>
              </w:rPr>
              <w:t>32-</w:t>
            </w:r>
            <w:r w:rsidR="008C3F4C">
              <w:rPr>
                <w:rFonts w:ascii="Calibri" w:eastAsia="Times New Roman" w:hAnsi="Calibri" w:cs="Calibri"/>
                <w:color w:val="201F1E"/>
                <w:bdr w:val="none" w:sz="0" w:space="0" w:color="auto" w:frame="1"/>
                <w:lang w:val="en-US" w:eastAsia="el-GR"/>
              </w:rPr>
              <w:t>Core</w:t>
            </w:r>
            <w:r w:rsidR="008C3F4C" w:rsidRPr="00A024BE">
              <w:rPr>
                <w:rFonts w:ascii="Calibri" w:eastAsia="Times New Roman" w:hAnsi="Calibri" w:cs="Calibri"/>
                <w:color w:val="201F1E"/>
                <w:bdr w:val="none" w:sz="0" w:space="0" w:color="auto" w:frame="1"/>
                <w:lang w:eastAsia="el-GR"/>
              </w:rPr>
              <w:t xml:space="preserve"> </w:t>
            </w:r>
            <w:r w:rsidRPr="00A024BE">
              <w:rPr>
                <w:rFonts w:ascii="Calibri" w:eastAsia="Times New Roman" w:hAnsi="Calibri" w:cs="Calibri"/>
                <w:color w:val="201F1E"/>
                <w:bdr w:val="none" w:sz="0" w:space="0" w:color="auto" w:frame="1"/>
                <w:lang w:eastAsia="el-GR"/>
              </w:rPr>
              <w:t>2.1</w:t>
            </w:r>
            <w:r w:rsidRPr="00334873">
              <w:rPr>
                <w:rFonts w:ascii="Calibri" w:eastAsia="Times New Roman" w:hAnsi="Calibri" w:cs="Calibri"/>
                <w:color w:val="201F1E"/>
                <w:bdr w:val="none" w:sz="0" w:space="0" w:color="auto" w:frame="1"/>
                <w:lang w:val="en-US" w:eastAsia="el-GR"/>
              </w:rPr>
              <w:t>G</w:t>
            </w:r>
            <w:r w:rsidR="008C3F4C">
              <w:rPr>
                <w:rFonts w:ascii="Calibri" w:eastAsia="Times New Roman" w:hAnsi="Calibri" w:cs="Calibri"/>
                <w:color w:val="201F1E"/>
                <w:bdr w:val="none" w:sz="0" w:space="0" w:color="auto" w:frame="1"/>
                <w:lang w:val="en-US" w:eastAsia="el-GR"/>
              </w:rPr>
              <w:t>Hz</w:t>
            </w:r>
            <w:r w:rsidR="008C3F4C" w:rsidRPr="00A024BE">
              <w:rPr>
                <w:rFonts w:ascii="Calibri" w:eastAsia="Times New Roman" w:hAnsi="Calibri" w:cs="Calibri"/>
                <w:color w:val="201F1E"/>
                <w:bdr w:val="none" w:sz="0" w:space="0" w:color="auto" w:frame="1"/>
                <w:lang w:eastAsia="el-GR"/>
              </w:rPr>
              <w:t xml:space="preserve"> </w:t>
            </w:r>
            <w:r w:rsidR="008C3F4C">
              <w:rPr>
                <w:rFonts w:ascii="Calibri" w:eastAsia="Times New Roman" w:hAnsi="Calibri" w:cs="Calibri"/>
                <w:color w:val="201F1E"/>
                <w:bdr w:val="none" w:sz="0" w:space="0" w:color="auto" w:frame="1"/>
                <w:lang w:val="en-US" w:eastAsia="el-GR"/>
              </w:rPr>
              <w:t>up</w:t>
            </w:r>
            <w:r w:rsidR="008C3F4C" w:rsidRPr="00A024BE">
              <w:rPr>
                <w:rFonts w:ascii="Calibri" w:eastAsia="Times New Roman" w:hAnsi="Calibri" w:cs="Calibri"/>
                <w:color w:val="201F1E"/>
                <w:bdr w:val="none" w:sz="0" w:space="0" w:color="auto" w:frame="1"/>
                <w:lang w:eastAsia="el-GR"/>
              </w:rPr>
              <w:t xml:space="preserve"> </w:t>
            </w:r>
            <w:r w:rsidR="008C3F4C">
              <w:rPr>
                <w:rFonts w:ascii="Calibri" w:eastAsia="Times New Roman" w:hAnsi="Calibri" w:cs="Calibri"/>
                <w:color w:val="201F1E"/>
                <w:bdr w:val="none" w:sz="0" w:space="0" w:color="auto" w:frame="1"/>
                <w:lang w:val="en-US" w:eastAsia="el-GR"/>
              </w:rPr>
              <w:t>to</w:t>
            </w:r>
            <w:r w:rsidR="008C3F4C" w:rsidRPr="00A024BE">
              <w:rPr>
                <w:rFonts w:ascii="Calibri" w:eastAsia="Times New Roman" w:hAnsi="Calibri" w:cs="Calibri"/>
                <w:color w:val="201F1E"/>
                <w:bdr w:val="none" w:sz="0" w:space="0" w:color="auto" w:frame="1"/>
                <w:lang w:eastAsia="el-GR"/>
              </w:rPr>
              <w:t xml:space="preserve"> 4</w:t>
            </w:r>
            <w:r w:rsidR="008C3F4C">
              <w:rPr>
                <w:rFonts w:ascii="Calibri" w:eastAsia="Times New Roman" w:hAnsi="Calibri" w:cs="Calibri"/>
                <w:color w:val="201F1E"/>
                <w:bdr w:val="none" w:sz="0" w:space="0" w:color="auto" w:frame="1"/>
                <w:lang w:val="en-US" w:eastAsia="el-GR"/>
              </w:rPr>
              <w:t>GHz</w:t>
            </w:r>
          </w:p>
          <w:p w14:paraId="6D79B49E" w14:textId="34A24169" w:rsidR="008C3F4C" w:rsidRPr="00A024BE" w:rsidRDefault="0065098B" w:rsidP="0065098B">
            <w:pPr>
              <w:spacing w:after="0" w:line="360" w:lineRule="auto"/>
              <w:rPr>
                <w:rFonts w:ascii="Calibri" w:eastAsia="Times New Roman" w:hAnsi="Calibri" w:cs="Calibri"/>
                <w:color w:val="201F1E"/>
                <w:bdr w:val="none" w:sz="0" w:space="0" w:color="auto" w:frame="1"/>
                <w:lang w:eastAsia="el-GR"/>
              </w:rPr>
            </w:pPr>
            <w:r w:rsidRPr="00A024BE">
              <w:rPr>
                <w:rFonts w:ascii="Calibri" w:eastAsia="Times New Roman" w:hAnsi="Calibri" w:cs="Calibri"/>
                <w:color w:val="201F1E"/>
                <w:bdr w:val="none" w:sz="0" w:space="0" w:color="auto" w:frame="1"/>
                <w:lang w:eastAsia="el-GR"/>
              </w:rPr>
              <w:t>(</w:t>
            </w:r>
            <w:r w:rsidR="008C3F4C" w:rsidRPr="00A024BE">
              <w:rPr>
                <w:rFonts w:ascii="Calibri" w:eastAsia="Times New Roman" w:hAnsi="Calibri" w:cs="Calibri"/>
                <w:color w:val="201F1E"/>
                <w:bdr w:val="none" w:sz="0" w:space="0" w:color="auto" w:frame="1"/>
                <w:lang w:eastAsia="el-GR"/>
              </w:rPr>
              <w:t>16</w:t>
            </w:r>
            <w:r w:rsidRPr="00A024BE">
              <w:rPr>
                <w:rFonts w:ascii="Calibri" w:eastAsia="Times New Roman" w:hAnsi="Calibri" w:cs="Calibri"/>
                <w:color w:val="201F1E"/>
                <w:bdr w:val="none" w:sz="0" w:space="0" w:color="auto" w:frame="1"/>
                <w:lang w:eastAsia="el-GR"/>
              </w:rPr>
              <w:t>×16</w:t>
            </w:r>
            <w:r w:rsidR="008C3F4C">
              <w:rPr>
                <w:rFonts w:ascii="Calibri" w:eastAsia="Times New Roman" w:hAnsi="Calibri" w:cs="Calibri"/>
                <w:color w:val="201F1E"/>
                <w:bdr w:val="none" w:sz="0" w:space="0" w:color="auto" w:frame="1"/>
                <w:lang w:val="en-US" w:eastAsia="el-GR"/>
              </w:rPr>
              <w:t>GB</w:t>
            </w:r>
            <w:r w:rsidRPr="00A024BE">
              <w:rPr>
                <w:rFonts w:ascii="Calibri" w:eastAsia="Times New Roman" w:hAnsi="Calibri" w:cs="Calibri"/>
                <w:color w:val="201F1E"/>
                <w:bdr w:val="none" w:sz="0" w:space="0" w:color="auto" w:frame="1"/>
                <w:lang w:eastAsia="el-GR"/>
              </w:rPr>
              <w:t>)</w:t>
            </w:r>
            <w:r w:rsidR="008C3F4C" w:rsidRPr="00A024BE">
              <w:rPr>
                <w:rFonts w:ascii="Calibri" w:eastAsia="Times New Roman" w:hAnsi="Calibri" w:cs="Calibri"/>
                <w:color w:val="201F1E"/>
                <w:bdr w:val="none" w:sz="0" w:space="0" w:color="auto" w:frame="1"/>
                <w:lang w:eastAsia="el-GR"/>
              </w:rPr>
              <w:t xml:space="preserve"> </w:t>
            </w:r>
            <w:r w:rsidR="008C3F4C">
              <w:rPr>
                <w:rFonts w:ascii="Calibri" w:eastAsia="Times New Roman" w:hAnsi="Calibri" w:cs="Calibri"/>
                <w:color w:val="201F1E"/>
                <w:bdr w:val="none" w:sz="0" w:space="0" w:color="auto" w:frame="1"/>
                <w:lang w:val="en-US" w:eastAsia="el-GR"/>
              </w:rPr>
              <w:t>DDR</w:t>
            </w:r>
            <w:r w:rsidR="008C3F4C" w:rsidRPr="00A024BE">
              <w:rPr>
                <w:rFonts w:ascii="Calibri" w:eastAsia="Times New Roman" w:hAnsi="Calibri" w:cs="Calibri"/>
                <w:color w:val="201F1E"/>
                <w:bdr w:val="none" w:sz="0" w:space="0" w:color="auto" w:frame="1"/>
                <w:lang w:eastAsia="el-GR"/>
              </w:rPr>
              <w:t>5 4800</w:t>
            </w:r>
            <w:r w:rsidR="008C3F4C">
              <w:rPr>
                <w:rFonts w:ascii="Calibri" w:eastAsia="Times New Roman" w:hAnsi="Calibri" w:cs="Calibri"/>
                <w:color w:val="201F1E"/>
                <w:bdr w:val="none" w:sz="0" w:space="0" w:color="auto" w:frame="1"/>
                <w:lang w:val="en-US" w:eastAsia="el-GR"/>
              </w:rPr>
              <w:t>MHz</w:t>
            </w:r>
            <w:r w:rsidR="008C3F4C" w:rsidRPr="00A024BE">
              <w:rPr>
                <w:rFonts w:ascii="Calibri" w:eastAsia="Times New Roman" w:hAnsi="Calibri" w:cs="Calibri"/>
                <w:color w:val="201F1E"/>
                <w:bdr w:val="none" w:sz="0" w:space="0" w:color="auto" w:frame="1"/>
                <w:lang w:eastAsia="el-GR"/>
              </w:rPr>
              <w:t xml:space="preserve"> </w:t>
            </w:r>
            <w:r w:rsidR="008C3F4C">
              <w:rPr>
                <w:rFonts w:ascii="Calibri" w:eastAsia="Times New Roman" w:hAnsi="Calibri" w:cs="Calibri"/>
                <w:color w:val="201F1E"/>
                <w:bdr w:val="none" w:sz="0" w:space="0" w:color="auto" w:frame="1"/>
                <w:lang w:val="en-US" w:eastAsia="el-GR"/>
              </w:rPr>
              <w:t>RAM</w:t>
            </w:r>
            <w:r w:rsidR="008C3F4C" w:rsidRPr="00A024BE">
              <w:rPr>
                <w:rFonts w:ascii="Calibri" w:eastAsia="Times New Roman" w:hAnsi="Calibri" w:cs="Calibri"/>
                <w:color w:val="201F1E"/>
                <w:bdr w:val="none" w:sz="0" w:space="0" w:color="auto" w:frame="1"/>
                <w:lang w:eastAsia="el-GR"/>
              </w:rPr>
              <w:t xml:space="preserve"> (256</w:t>
            </w:r>
            <w:r w:rsidR="008C3F4C">
              <w:rPr>
                <w:rFonts w:ascii="Calibri" w:eastAsia="Times New Roman" w:hAnsi="Calibri" w:cs="Calibri"/>
                <w:color w:val="201F1E"/>
                <w:bdr w:val="none" w:sz="0" w:space="0" w:color="auto" w:frame="1"/>
                <w:lang w:val="en-US" w:eastAsia="el-GR"/>
              </w:rPr>
              <w:t>GB</w:t>
            </w:r>
            <w:r w:rsidR="008C3F4C" w:rsidRPr="00A024BE">
              <w:rPr>
                <w:rFonts w:ascii="Calibri" w:eastAsia="Times New Roman" w:hAnsi="Calibri" w:cs="Calibri"/>
                <w:color w:val="201F1E"/>
                <w:bdr w:val="none" w:sz="0" w:space="0" w:color="auto" w:frame="1"/>
                <w:lang w:eastAsia="el-GR"/>
              </w:rPr>
              <w:t>)</w:t>
            </w:r>
          </w:p>
          <w:p w14:paraId="15CD969A" w14:textId="0D125925" w:rsidR="008C3F4C" w:rsidRPr="00334873" w:rsidRDefault="0065098B" w:rsidP="0065098B">
            <w:pPr>
              <w:spacing w:after="0" w:line="360" w:lineRule="auto"/>
              <w:rPr>
                <w:rFonts w:ascii="Calibri" w:eastAsia="Times New Roman" w:hAnsi="Calibri" w:cs="Calibri"/>
                <w:color w:val="201F1E"/>
                <w:bdr w:val="none" w:sz="0" w:space="0" w:color="auto" w:frame="1"/>
                <w:lang w:val="en-US" w:eastAsia="el-GR"/>
              </w:rPr>
            </w:pPr>
            <w:r>
              <w:rPr>
                <w:rFonts w:ascii="Calibri" w:eastAsia="Times New Roman" w:hAnsi="Calibri" w:cs="Calibri"/>
                <w:color w:val="201F1E"/>
                <w:bdr w:val="none" w:sz="0" w:space="0" w:color="auto" w:frame="1"/>
                <w:lang w:val="en-US" w:eastAsia="el-GR"/>
              </w:rPr>
              <w:t xml:space="preserve">Dual </w:t>
            </w:r>
            <w:r w:rsidR="008C3F4C">
              <w:rPr>
                <w:rFonts w:ascii="Calibri" w:eastAsia="Times New Roman" w:hAnsi="Calibri" w:cs="Calibri"/>
                <w:color w:val="201F1E"/>
                <w:bdr w:val="none" w:sz="0" w:space="0" w:color="auto" w:frame="1"/>
                <w:lang w:val="en-US" w:eastAsia="el-GR"/>
              </w:rPr>
              <w:t xml:space="preserve">SSD 960GB </w:t>
            </w:r>
            <w:proofErr w:type="spellStart"/>
            <w:r w:rsidR="008C3F4C">
              <w:rPr>
                <w:rFonts w:ascii="Calibri" w:eastAsia="Times New Roman" w:hAnsi="Calibri" w:cs="Calibri"/>
                <w:color w:val="201F1E"/>
                <w:bdr w:val="none" w:sz="0" w:space="0" w:color="auto" w:frame="1"/>
                <w:lang w:val="en-US" w:eastAsia="el-GR"/>
              </w:rPr>
              <w:t>NVMe</w:t>
            </w:r>
            <w:proofErr w:type="spellEnd"/>
          </w:p>
          <w:p w14:paraId="7BE997B5" w14:textId="41A6B2E4" w:rsidR="00346F61" w:rsidRPr="00334873" w:rsidRDefault="00346F61" w:rsidP="00334873">
            <w:pPr>
              <w:spacing w:after="0" w:line="240" w:lineRule="auto"/>
              <w:rPr>
                <w:rFonts w:ascii="Times New Roman" w:eastAsia="Times New Roman" w:hAnsi="Times New Roman" w:cs="Times New Roman"/>
                <w:color w:val="201F1E"/>
                <w:sz w:val="24"/>
                <w:szCs w:val="24"/>
                <w:lang w:val="en-US" w:eastAsia="el-GR"/>
              </w:rPr>
            </w:pPr>
          </w:p>
        </w:tc>
        <w:tc>
          <w:tcPr>
            <w:tcW w:w="1105" w:type="dxa"/>
            <w:tcBorders>
              <w:top w:val="nil"/>
              <w:left w:val="nil"/>
              <w:bottom w:val="single" w:sz="8" w:space="0" w:color="auto"/>
              <w:right w:val="single" w:sz="8" w:space="0" w:color="auto"/>
            </w:tcBorders>
            <w:shd w:val="clear" w:color="auto" w:fill="FFFFFF"/>
          </w:tcPr>
          <w:p w14:paraId="784A501B" w14:textId="001C235C" w:rsidR="00346F61" w:rsidRPr="008C3F4C" w:rsidRDefault="008C3F4C" w:rsidP="00346F61">
            <w:pPr>
              <w:spacing w:after="0" w:line="240" w:lineRule="auto"/>
              <w:jc w:val="center"/>
              <w:rPr>
                <w:rFonts w:ascii="Calibri" w:eastAsia="Times New Roman" w:hAnsi="Calibri" w:cs="Calibri"/>
                <w:color w:val="201F1E"/>
                <w:bdr w:val="none" w:sz="0" w:space="0" w:color="auto" w:frame="1"/>
                <w:lang w:eastAsia="el-GR"/>
              </w:rPr>
            </w:pPr>
            <w:r>
              <w:rPr>
                <w:rFonts w:ascii="Calibri" w:eastAsia="Times New Roman" w:hAnsi="Calibri" w:cs="Calibri"/>
                <w:color w:val="201F1E"/>
                <w:bdr w:val="none" w:sz="0" w:space="0" w:color="auto" w:frame="1"/>
                <w:lang w:eastAsia="el-GR"/>
              </w:rPr>
              <w:t>2</w:t>
            </w:r>
          </w:p>
        </w:tc>
        <w:tc>
          <w:tcPr>
            <w:tcW w:w="1064" w:type="dxa"/>
            <w:tcBorders>
              <w:top w:val="nil"/>
              <w:left w:val="nil"/>
              <w:bottom w:val="single" w:sz="8" w:space="0" w:color="auto"/>
              <w:right w:val="single" w:sz="8" w:space="0" w:color="auto"/>
            </w:tcBorders>
            <w:shd w:val="clear" w:color="auto" w:fill="FFFFFF"/>
          </w:tcPr>
          <w:p w14:paraId="6CAB922C" w14:textId="7C83E84A" w:rsidR="00346F61" w:rsidRPr="00346F61" w:rsidRDefault="00346F61" w:rsidP="00346F61">
            <w:pPr>
              <w:spacing w:after="0" w:line="240" w:lineRule="auto"/>
              <w:jc w:val="center"/>
              <w:rPr>
                <w:rFonts w:ascii="Calibri" w:eastAsia="Times New Roman" w:hAnsi="Calibri" w:cs="Calibri"/>
                <w:color w:val="201F1E"/>
                <w:bdr w:val="none" w:sz="0" w:space="0" w:color="auto" w:frame="1"/>
                <w:lang w:val="en-US" w:eastAsia="el-GR"/>
              </w:rPr>
            </w:pPr>
            <w:r w:rsidRPr="00346F61">
              <w:rPr>
                <w:rFonts w:ascii="Calibri" w:eastAsia="Times New Roman" w:hAnsi="Calibri" w:cs="Calibri"/>
                <w:color w:val="201F1E"/>
                <w:bdr w:val="none" w:sz="0" w:space="0" w:color="auto" w:frame="1"/>
                <w:lang w:val="en-US" w:eastAsia="el-GR"/>
              </w:rPr>
              <w:t>ΝΑΙ</w:t>
            </w:r>
          </w:p>
        </w:tc>
        <w:tc>
          <w:tcPr>
            <w:tcW w:w="1150" w:type="dxa"/>
            <w:tcBorders>
              <w:top w:val="nil"/>
              <w:left w:val="nil"/>
              <w:bottom w:val="single" w:sz="8" w:space="0" w:color="auto"/>
              <w:right w:val="single" w:sz="8" w:space="0" w:color="auto"/>
            </w:tcBorders>
            <w:shd w:val="clear" w:color="auto" w:fill="FFFFFF"/>
          </w:tcPr>
          <w:p w14:paraId="4C15C61B" w14:textId="77777777" w:rsidR="00346F61" w:rsidRPr="00334873" w:rsidRDefault="00346F61" w:rsidP="00334873">
            <w:pPr>
              <w:spacing w:after="0" w:line="240" w:lineRule="auto"/>
              <w:rPr>
                <w:rFonts w:ascii="Calibri" w:eastAsia="Times New Roman" w:hAnsi="Calibri" w:cs="Calibri"/>
                <w:b/>
                <w:bCs/>
                <w:color w:val="201F1E"/>
                <w:bdr w:val="none" w:sz="0" w:space="0" w:color="auto" w:frame="1"/>
                <w:lang w:val="en-US" w:eastAsia="el-GR"/>
              </w:rPr>
            </w:pPr>
          </w:p>
        </w:tc>
      </w:tr>
    </w:tbl>
    <w:p w14:paraId="55A3165A" w14:textId="77777777" w:rsidR="00334873" w:rsidRPr="00334873" w:rsidRDefault="00334873" w:rsidP="00334873">
      <w:pPr>
        <w:shd w:val="clear" w:color="auto" w:fill="FFFFFF"/>
        <w:spacing w:after="0" w:line="240" w:lineRule="auto"/>
        <w:rPr>
          <w:rFonts w:ascii="Times New Roman" w:eastAsia="Times New Roman" w:hAnsi="Times New Roman" w:cs="Times New Roman"/>
          <w:color w:val="201F1E"/>
          <w:sz w:val="24"/>
          <w:szCs w:val="24"/>
          <w:lang w:val="en-US" w:eastAsia="el-GR"/>
        </w:rPr>
      </w:pPr>
      <w:r w:rsidRPr="00334873">
        <w:rPr>
          <w:rFonts w:ascii="Calibri" w:eastAsia="Times New Roman" w:hAnsi="Calibri" w:cs="Calibri"/>
          <w:color w:val="1F497D"/>
          <w:bdr w:val="none" w:sz="0" w:space="0" w:color="auto" w:frame="1"/>
          <w:lang w:val="en-US" w:eastAsia="el-GR"/>
        </w:rPr>
        <w:t> </w:t>
      </w:r>
    </w:p>
    <w:p w14:paraId="08E5DE50" w14:textId="6050B8D7" w:rsidR="00C9296C" w:rsidRDefault="00334873" w:rsidP="00CC5BAA">
      <w:pPr>
        <w:shd w:val="clear" w:color="auto" w:fill="FFFFFF"/>
        <w:spacing w:after="0" w:line="240" w:lineRule="auto"/>
        <w:rPr>
          <w:rFonts w:ascii="Calibri" w:hAnsi="Calibri"/>
          <w:b/>
          <w:u w:val="single"/>
        </w:rPr>
      </w:pPr>
      <w:r w:rsidRPr="00334873">
        <w:rPr>
          <w:rFonts w:ascii="Calibri" w:eastAsia="Times New Roman" w:hAnsi="Calibri" w:cs="Calibri"/>
          <w:color w:val="1F497D"/>
          <w:bdr w:val="none" w:sz="0" w:space="0" w:color="auto" w:frame="1"/>
          <w:lang w:val="en-US" w:eastAsia="el-GR"/>
        </w:rPr>
        <w:t> </w:t>
      </w:r>
    </w:p>
    <w:p w14:paraId="758E4C6C" w14:textId="77777777" w:rsidR="00C9296C" w:rsidRPr="00C9296C" w:rsidRDefault="00C9296C" w:rsidP="00562A25">
      <w:pPr>
        <w:pStyle w:val="a4"/>
        <w:numPr>
          <w:ilvl w:val="0"/>
          <w:numId w:val="1"/>
        </w:numPr>
        <w:jc w:val="both"/>
        <w:rPr>
          <w:rFonts w:ascii="Calibri" w:hAnsi="Calibri"/>
          <w:b/>
          <w:u w:val="single"/>
        </w:rPr>
      </w:pPr>
      <w:r>
        <w:rPr>
          <w:rFonts w:ascii="Calibri" w:hAnsi="Calibri"/>
          <w:b/>
          <w:u w:val="single"/>
        </w:rPr>
        <w:t>Εγκατάσταση</w:t>
      </w:r>
    </w:p>
    <w:p w14:paraId="6F16AF43" w14:textId="77777777" w:rsidR="000F3E8A" w:rsidRPr="002D4B3D" w:rsidRDefault="000F3E8A" w:rsidP="002D4B3D">
      <w:pPr>
        <w:pStyle w:val="a4"/>
        <w:jc w:val="both"/>
        <w:rPr>
          <w:rFonts w:ascii="Calibri" w:hAnsi="Calibri"/>
          <w:b/>
          <w:u w:val="single"/>
        </w:rPr>
      </w:pPr>
    </w:p>
    <w:tbl>
      <w:tblPr>
        <w:tblStyle w:val="a3"/>
        <w:tblW w:w="0" w:type="auto"/>
        <w:tblLook w:val="04A0" w:firstRow="1" w:lastRow="0" w:firstColumn="1" w:lastColumn="0" w:noHBand="0" w:noVBand="1"/>
      </w:tblPr>
      <w:tblGrid>
        <w:gridCol w:w="635"/>
        <w:gridCol w:w="3988"/>
        <w:gridCol w:w="1246"/>
        <w:gridCol w:w="1170"/>
        <w:gridCol w:w="1257"/>
      </w:tblGrid>
      <w:tr w:rsidR="00D4026D" w:rsidRPr="00BA3B3B" w14:paraId="0414C663" w14:textId="77777777" w:rsidTr="00D4026D">
        <w:tc>
          <w:tcPr>
            <w:tcW w:w="659" w:type="dxa"/>
          </w:tcPr>
          <w:p w14:paraId="544E8A0F" w14:textId="77777777" w:rsidR="00D4026D" w:rsidRPr="00BA3B3B" w:rsidRDefault="00D4026D" w:rsidP="0062287A">
            <w:pPr>
              <w:jc w:val="center"/>
              <w:rPr>
                <w:b/>
              </w:rPr>
            </w:pPr>
            <w:r w:rsidRPr="00BA3B3B">
              <w:rPr>
                <w:b/>
              </w:rPr>
              <w:t>Α/Α</w:t>
            </w:r>
          </w:p>
        </w:tc>
        <w:tc>
          <w:tcPr>
            <w:tcW w:w="4839" w:type="dxa"/>
          </w:tcPr>
          <w:p w14:paraId="641350DE" w14:textId="77777777" w:rsidR="00D4026D" w:rsidRPr="00BA3B3B" w:rsidRDefault="00D4026D" w:rsidP="0062287A">
            <w:pPr>
              <w:rPr>
                <w:b/>
              </w:rPr>
            </w:pPr>
            <w:r w:rsidRPr="00BA3B3B">
              <w:rPr>
                <w:b/>
              </w:rPr>
              <w:t>ΠΕΡΙΓΡΑΦΗ</w:t>
            </w:r>
          </w:p>
        </w:tc>
        <w:tc>
          <w:tcPr>
            <w:tcW w:w="1246" w:type="dxa"/>
          </w:tcPr>
          <w:p w14:paraId="5412324F" w14:textId="77777777" w:rsidR="00D4026D" w:rsidRPr="00BA3B3B" w:rsidRDefault="00D4026D" w:rsidP="0062287A">
            <w:pPr>
              <w:jc w:val="center"/>
              <w:rPr>
                <w:b/>
              </w:rPr>
            </w:pPr>
            <w:r w:rsidRPr="00BA3B3B">
              <w:rPr>
                <w:b/>
              </w:rPr>
              <w:t>ΠΟΣΟΤΗΤΑ</w:t>
            </w:r>
          </w:p>
        </w:tc>
        <w:tc>
          <w:tcPr>
            <w:tcW w:w="889" w:type="dxa"/>
          </w:tcPr>
          <w:p w14:paraId="5920DC7C" w14:textId="77777777" w:rsidR="00D4026D" w:rsidRPr="00BA3B3B" w:rsidRDefault="00D4026D" w:rsidP="0062287A">
            <w:pPr>
              <w:jc w:val="center"/>
              <w:rPr>
                <w:b/>
              </w:rPr>
            </w:pPr>
            <w:r>
              <w:rPr>
                <w:b/>
              </w:rPr>
              <w:t>ΑΠΑΙΤΗΣΗ</w:t>
            </w:r>
          </w:p>
        </w:tc>
        <w:tc>
          <w:tcPr>
            <w:tcW w:w="889" w:type="dxa"/>
          </w:tcPr>
          <w:p w14:paraId="5CB76E71" w14:textId="77777777" w:rsidR="00D4026D" w:rsidRPr="00BA3B3B" w:rsidRDefault="00D4026D" w:rsidP="0062287A">
            <w:pPr>
              <w:jc w:val="center"/>
              <w:rPr>
                <w:b/>
              </w:rPr>
            </w:pPr>
            <w:r>
              <w:rPr>
                <w:b/>
              </w:rPr>
              <w:t>ΑΠΑΝΤΗΣΗ</w:t>
            </w:r>
          </w:p>
        </w:tc>
      </w:tr>
      <w:tr w:rsidR="00D4026D" w14:paraId="5D84DBD3" w14:textId="77777777" w:rsidTr="00D4026D">
        <w:tc>
          <w:tcPr>
            <w:tcW w:w="659" w:type="dxa"/>
          </w:tcPr>
          <w:p w14:paraId="2C0B7592" w14:textId="77777777" w:rsidR="00D4026D" w:rsidRPr="008E64AC" w:rsidRDefault="00D4026D" w:rsidP="0062287A">
            <w:pPr>
              <w:jc w:val="center"/>
              <w:rPr>
                <w:lang w:val="en-US"/>
              </w:rPr>
            </w:pPr>
            <w:r>
              <w:t>1</w:t>
            </w:r>
            <w:r>
              <w:rPr>
                <w:lang w:val="en-US"/>
              </w:rPr>
              <w:t>.</w:t>
            </w:r>
          </w:p>
        </w:tc>
        <w:tc>
          <w:tcPr>
            <w:tcW w:w="4839" w:type="dxa"/>
          </w:tcPr>
          <w:p w14:paraId="4EAA1EF5" w14:textId="5BABCE49" w:rsidR="00D4026D" w:rsidRPr="00C9296C" w:rsidRDefault="00D4026D" w:rsidP="0065098B">
            <w:pPr>
              <w:spacing w:line="360" w:lineRule="auto"/>
            </w:pPr>
            <w:r>
              <w:t>Στις τιμές του προσφερόμενου εξοπλισμού να συμπεριλαμβάνεται το κόστος μεταφοράς στην έδρα της υπηρεσίας, εγκατάστασης και παραμετροποίησης του εξοπλισμού σύμφωνα με τις ανάγκες και τις υποδείξεις της υπηρεσίας</w:t>
            </w:r>
            <w:r w:rsidR="008C3F4C">
              <w:t xml:space="preserve"> για την παράλληλη εκτέλεση</w:t>
            </w:r>
            <w:r w:rsidR="0065098B">
              <w:t xml:space="preserve"> ατμοσφαιρικών και θαλάσσιων μοντέλων</w:t>
            </w:r>
            <w:r>
              <w:t>.</w:t>
            </w:r>
          </w:p>
        </w:tc>
        <w:tc>
          <w:tcPr>
            <w:tcW w:w="1246" w:type="dxa"/>
          </w:tcPr>
          <w:p w14:paraId="6F726A54" w14:textId="77777777" w:rsidR="00D4026D" w:rsidRPr="00FD6687" w:rsidRDefault="00D4026D" w:rsidP="0062287A">
            <w:pPr>
              <w:jc w:val="center"/>
              <w:rPr>
                <w:lang w:val="en-US"/>
              </w:rPr>
            </w:pPr>
            <w:r>
              <w:rPr>
                <w:lang w:val="en-US"/>
              </w:rPr>
              <w:t>1</w:t>
            </w:r>
          </w:p>
        </w:tc>
        <w:tc>
          <w:tcPr>
            <w:tcW w:w="889" w:type="dxa"/>
          </w:tcPr>
          <w:p w14:paraId="136603BE" w14:textId="77777777" w:rsidR="00D4026D" w:rsidRPr="00D4026D" w:rsidRDefault="00D4026D" w:rsidP="0062287A">
            <w:pPr>
              <w:jc w:val="center"/>
            </w:pPr>
            <w:r>
              <w:t>ΝΑΙ</w:t>
            </w:r>
          </w:p>
        </w:tc>
        <w:tc>
          <w:tcPr>
            <w:tcW w:w="889" w:type="dxa"/>
          </w:tcPr>
          <w:p w14:paraId="4BAA40CD" w14:textId="77777777" w:rsidR="00D4026D" w:rsidRDefault="00D4026D" w:rsidP="0062287A">
            <w:pPr>
              <w:jc w:val="center"/>
              <w:rPr>
                <w:lang w:val="en-US"/>
              </w:rPr>
            </w:pPr>
          </w:p>
        </w:tc>
      </w:tr>
    </w:tbl>
    <w:p w14:paraId="4CF2284F" w14:textId="77777777" w:rsidR="00C901CA" w:rsidRPr="005E34AF" w:rsidRDefault="00C901CA" w:rsidP="00C901CA">
      <w:pPr>
        <w:jc w:val="both"/>
        <w:rPr>
          <w:sz w:val="24"/>
          <w:szCs w:val="24"/>
        </w:rPr>
      </w:pPr>
    </w:p>
    <w:p w14:paraId="010145CE" w14:textId="77777777" w:rsidR="000F3E8A" w:rsidRPr="000F3E8A" w:rsidRDefault="000F3E8A" w:rsidP="004939A6">
      <w:pPr>
        <w:ind w:left="2268"/>
      </w:pPr>
    </w:p>
    <w:sectPr w:rsidR="000F3E8A" w:rsidRPr="000F3E8A" w:rsidSect="00080BF5">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A29"/>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D559E6"/>
    <w:multiLevelType w:val="hybridMultilevel"/>
    <w:tmpl w:val="B4EC6484"/>
    <w:lvl w:ilvl="0" w:tplc="F9FCDFBC">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C67BB1"/>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BCB3BCB"/>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F9236B"/>
    <w:multiLevelType w:val="hybridMultilevel"/>
    <w:tmpl w:val="4ABA5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787796A"/>
    <w:multiLevelType w:val="hybridMultilevel"/>
    <w:tmpl w:val="A40E2AD4"/>
    <w:lvl w:ilvl="0" w:tplc="C3422C7A">
      <w:start w:val="1"/>
      <w:numFmt w:val="decimal"/>
      <w:lvlText w:val="%1."/>
      <w:lvlJc w:val="left"/>
      <w:pPr>
        <w:ind w:left="810" w:hanging="360"/>
      </w:pPr>
      <w:rPr>
        <w:rFonts w:hint="default"/>
      </w:r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6" w15:restartNumberingAfterBreak="0">
    <w:nsid w:val="75D54602"/>
    <w:multiLevelType w:val="multilevel"/>
    <w:tmpl w:val="0C96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214691">
    <w:abstractNumId w:val="0"/>
  </w:num>
  <w:num w:numId="2" w16cid:durableId="248849792">
    <w:abstractNumId w:val="2"/>
  </w:num>
  <w:num w:numId="3" w16cid:durableId="1550457496">
    <w:abstractNumId w:val="3"/>
  </w:num>
  <w:num w:numId="4" w16cid:durableId="1897931040">
    <w:abstractNumId w:val="6"/>
  </w:num>
  <w:num w:numId="5" w16cid:durableId="310404067">
    <w:abstractNumId w:val="4"/>
  </w:num>
  <w:num w:numId="6" w16cid:durableId="1877958783">
    <w:abstractNumId w:val="1"/>
  </w:num>
  <w:num w:numId="7" w16cid:durableId="242182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1C"/>
    <w:rsid w:val="00030330"/>
    <w:rsid w:val="00042790"/>
    <w:rsid w:val="00044EB5"/>
    <w:rsid w:val="00045C91"/>
    <w:rsid w:val="00080BF5"/>
    <w:rsid w:val="000F3E8A"/>
    <w:rsid w:val="0012447C"/>
    <w:rsid w:val="00153181"/>
    <w:rsid w:val="00187062"/>
    <w:rsid w:val="001B6134"/>
    <w:rsid w:val="00220559"/>
    <w:rsid w:val="002777BC"/>
    <w:rsid w:val="00294A89"/>
    <w:rsid w:val="002B1E6C"/>
    <w:rsid w:val="002D4B3D"/>
    <w:rsid w:val="00303D1E"/>
    <w:rsid w:val="00334873"/>
    <w:rsid w:val="00346F61"/>
    <w:rsid w:val="00347486"/>
    <w:rsid w:val="0035775E"/>
    <w:rsid w:val="003C1EAA"/>
    <w:rsid w:val="003F1A9B"/>
    <w:rsid w:val="0041791B"/>
    <w:rsid w:val="00442BB4"/>
    <w:rsid w:val="004771E0"/>
    <w:rsid w:val="00484360"/>
    <w:rsid w:val="004939A6"/>
    <w:rsid w:val="004B4C77"/>
    <w:rsid w:val="004E41F4"/>
    <w:rsid w:val="005110BC"/>
    <w:rsid w:val="00521107"/>
    <w:rsid w:val="00544B40"/>
    <w:rsid w:val="005456E9"/>
    <w:rsid w:val="005565DC"/>
    <w:rsid w:val="005A3C5F"/>
    <w:rsid w:val="005B65A5"/>
    <w:rsid w:val="005B7EB3"/>
    <w:rsid w:val="005E34AF"/>
    <w:rsid w:val="005F21A0"/>
    <w:rsid w:val="00601317"/>
    <w:rsid w:val="00621BF8"/>
    <w:rsid w:val="0065098B"/>
    <w:rsid w:val="00655488"/>
    <w:rsid w:val="006843A7"/>
    <w:rsid w:val="00685DBF"/>
    <w:rsid w:val="006905E4"/>
    <w:rsid w:val="006944CA"/>
    <w:rsid w:val="00694F64"/>
    <w:rsid w:val="006964D9"/>
    <w:rsid w:val="006C1E1E"/>
    <w:rsid w:val="00704ED9"/>
    <w:rsid w:val="00722F2F"/>
    <w:rsid w:val="00790372"/>
    <w:rsid w:val="007A5094"/>
    <w:rsid w:val="007D647A"/>
    <w:rsid w:val="007E1D8B"/>
    <w:rsid w:val="00846307"/>
    <w:rsid w:val="00857A83"/>
    <w:rsid w:val="008C1D94"/>
    <w:rsid w:val="008C3F4C"/>
    <w:rsid w:val="008D7126"/>
    <w:rsid w:val="008D7586"/>
    <w:rsid w:val="008E0231"/>
    <w:rsid w:val="008E02E7"/>
    <w:rsid w:val="008E64AC"/>
    <w:rsid w:val="009435BC"/>
    <w:rsid w:val="00952273"/>
    <w:rsid w:val="009A409C"/>
    <w:rsid w:val="009B7325"/>
    <w:rsid w:val="00A024BE"/>
    <w:rsid w:val="00A06FA2"/>
    <w:rsid w:val="00A61FE3"/>
    <w:rsid w:val="00A66ECC"/>
    <w:rsid w:val="00AA0ECE"/>
    <w:rsid w:val="00AA6ACE"/>
    <w:rsid w:val="00B33280"/>
    <w:rsid w:val="00BA121C"/>
    <w:rsid w:val="00BA3B3B"/>
    <w:rsid w:val="00BA7C79"/>
    <w:rsid w:val="00BC31A2"/>
    <w:rsid w:val="00BC40CE"/>
    <w:rsid w:val="00BD05C7"/>
    <w:rsid w:val="00BD2C78"/>
    <w:rsid w:val="00C901CA"/>
    <w:rsid w:val="00C9296C"/>
    <w:rsid w:val="00C961F4"/>
    <w:rsid w:val="00CC1AC4"/>
    <w:rsid w:val="00CC5BAA"/>
    <w:rsid w:val="00D24888"/>
    <w:rsid w:val="00D265F5"/>
    <w:rsid w:val="00D4026D"/>
    <w:rsid w:val="00D71E32"/>
    <w:rsid w:val="00D90658"/>
    <w:rsid w:val="00DC0150"/>
    <w:rsid w:val="00DD6FEF"/>
    <w:rsid w:val="00E26FFE"/>
    <w:rsid w:val="00E40B0C"/>
    <w:rsid w:val="00E9288B"/>
    <w:rsid w:val="00EF0295"/>
    <w:rsid w:val="00F71EBE"/>
    <w:rsid w:val="00F84002"/>
    <w:rsid w:val="00FD6687"/>
    <w:rsid w:val="00FF00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09E0"/>
  <w15:docId w15:val="{B48F5A2D-6F9F-4DD7-9A50-E37D639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0B0C"/>
    <w:pPr>
      <w:ind w:left="720"/>
      <w:contextualSpacing/>
    </w:pPr>
  </w:style>
  <w:style w:type="paragraph" w:customStyle="1" w:styleId="Default">
    <w:name w:val="Default"/>
    <w:rsid w:val="00A66ECC"/>
    <w:pPr>
      <w:autoSpaceDE w:val="0"/>
      <w:autoSpaceDN w:val="0"/>
      <w:adjustRightInd w:val="0"/>
      <w:spacing w:after="0" w:line="240" w:lineRule="auto"/>
    </w:pPr>
    <w:rPr>
      <w:rFonts w:ascii="Arial" w:hAnsi="Arial" w:cs="Arial"/>
      <w:color w:val="000000"/>
      <w:sz w:val="24"/>
      <w:szCs w:val="24"/>
      <w:lang w:val="en-US"/>
    </w:rPr>
  </w:style>
  <w:style w:type="paragraph" w:styleId="a5">
    <w:name w:val="Body Text"/>
    <w:basedOn w:val="a"/>
    <w:link w:val="Char"/>
    <w:uiPriority w:val="1"/>
    <w:qFormat/>
    <w:rsid w:val="004939A6"/>
    <w:pPr>
      <w:widowControl w:val="0"/>
      <w:autoSpaceDE w:val="0"/>
      <w:autoSpaceDN w:val="0"/>
      <w:spacing w:after="0" w:line="240" w:lineRule="auto"/>
    </w:pPr>
    <w:rPr>
      <w:rFonts w:ascii="Arial" w:eastAsia="Arial" w:hAnsi="Arial" w:cs="Arial"/>
      <w:lang w:eastAsia="el-GR" w:bidi="el-GR"/>
    </w:rPr>
  </w:style>
  <w:style w:type="character" w:customStyle="1" w:styleId="Char">
    <w:name w:val="Σώμα κειμένου Char"/>
    <w:basedOn w:val="a0"/>
    <w:link w:val="a5"/>
    <w:uiPriority w:val="1"/>
    <w:rsid w:val="004939A6"/>
    <w:rPr>
      <w:rFonts w:ascii="Arial" w:eastAsia="Arial" w:hAnsi="Arial" w:cs="Arial"/>
      <w:lang w:eastAsia="el-GR" w:bidi="el-GR"/>
    </w:rPr>
  </w:style>
  <w:style w:type="paragraph" w:styleId="a6">
    <w:name w:val="Title"/>
    <w:basedOn w:val="a"/>
    <w:next w:val="a"/>
    <w:link w:val="Char0"/>
    <w:uiPriority w:val="10"/>
    <w:qFormat/>
    <w:rsid w:val="004939A6"/>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eastAsia="el-GR" w:bidi="el-GR"/>
    </w:rPr>
  </w:style>
  <w:style w:type="character" w:customStyle="1" w:styleId="Char0">
    <w:name w:val="Τίτλος Char"/>
    <w:basedOn w:val="a0"/>
    <w:link w:val="a6"/>
    <w:uiPriority w:val="10"/>
    <w:rsid w:val="004939A6"/>
    <w:rPr>
      <w:rFonts w:asciiTheme="majorHAnsi" w:eastAsiaTheme="majorEastAsia" w:hAnsiTheme="majorHAnsi" w:cstheme="majorBidi"/>
      <w:spacing w:val="-10"/>
      <w:kern w:val="28"/>
      <w:sz w:val="56"/>
      <w:szCs w:val="56"/>
      <w:lang w:eastAsia="el-GR" w:bidi="el-GR"/>
    </w:rPr>
  </w:style>
  <w:style w:type="paragraph" w:customStyle="1" w:styleId="xmsonormal">
    <w:name w:val="x_msonormal"/>
    <w:basedOn w:val="a"/>
    <w:rsid w:val="0033487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7161">
      <w:bodyDiv w:val="1"/>
      <w:marLeft w:val="0"/>
      <w:marRight w:val="0"/>
      <w:marTop w:val="0"/>
      <w:marBottom w:val="0"/>
      <w:divBdr>
        <w:top w:val="none" w:sz="0" w:space="0" w:color="auto"/>
        <w:left w:val="none" w:sz="0" w:space="0" w:color="auto"/>
        <w:bottom w:val="none" w:sz="0" w:space="0" w:color="auto"/>
        <w:right w:val="none" w:sz="0" w:space="0" w:color="auto"/>
      </w:divBdr>
    </w:div>
    <w:div w:id="384183854">
      <w:bodyDiv w:val="1"/>
      <w:marLeft w:val="0"/>
      <w:marRight w:val="0"/>
      <w:marTop w:val="0"/>
      <w:marBottom w:val="0"/>
      <w:divBdr>
        <w:top w:val="none" w:sz="0" w:space="0" w:color="auto"/>
        <w:left w:val="none" w:sz="0" w:space="0" w:color="auto"/>
        <w:bottom w:val="none" w:sz="0" w:space="0" w:color="auto"/>
        <w:right w:val="none" w:sz="0" w:space="0" w:color="auto"/>
      </w:divBdr>
    </w:div>
    <w:div w:id="518085463">
      <w:bodyDiv w:val="1"/>
      <w:marLeft w:val="0"/>
      <w:marRight w:val="0"/>
      <w:marTop w:val="0"/>
      <w:marBottom w:val="0"/>
      <w:divBdr>
        <w:top w:val="none" w:sz="0" w:space="0" w:color="auto"/>
        <w:left w:val="none" w:sz="0" w:space="0" w:color="auto"/>
        <w:bottom w:val="none" w:sz="0" w:space="0" w:color="auto"/>
        <w:right w:val="none" w:sz="0" w:space="0" w:color="auto"/>
      </w:divBdr>
    </w:div>
    <w:div w:id="1155683765">
      <w:bodyDiv w:val="1"/>
      <w:marLeft w:val="0"/>
      <w:marRight w:val="0"/>
      <w:marTop w:val="0"/>
      <w:marBottom w:val="0"/>
      <w:divBdr>
        <w:top w:val="none" w:sz="0" w:space="0" w:color="auto"/>
        <w:left w:val="none" w:sz="0" w:space="0" w:color="auto"/>
        <w:bottom w:val="none" w:sz="0" w:space="0" w:color="auto"/>
        <w:right w:val="none" w:sz="0" w:space="0" w:color="auto"/>
      </w:divBdr>
    </w:div>
    <w:div w:id="1520580914">
      <w:bodyDiv w:val="1"/>
      <w:marLeft w:val="0"/>
      <w:marRight w:val="0"/>
      <w:marTop w:val="0"/>
      <w:marBottom w:val="0"/>
      <w:divBdr>
        <w:top w:val="none" w:sz="0" w:space="0" w:color="auto"/>
        <w:left w:val="none" w:sz="0" w:space="0" w:color="auto"/>
        <w:bottom w:val="none" w:sz="0" w:space="0" w:color="auto"/>
        <w:right w:val="none" w:sz="0" w:space="0" w:color="auto"/>
      </w:divBdr>
    </w:div>
    <w:div w:id="19252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2502</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Aggelopoulou Georgia</cp:lastModifiedBy>
  <cp:revision>2</cp:revision>
  <dcterms:created xsi:type="dcterms:W3CDTF">2024-03-27T12:14:00Z</dcterms:created>
  <dcterms:modified xsi:type="dcterms:W3CDTF">2024-03-27T12:14:00Z</dcterms:modified>
</cp:coreProperties>
</file>